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59C" w14:textId="77777777" w:rsidR="003F507C" w:rsidRPr="00265B7C" w:rsidRDefault="003F507C" w:rsidP="003F507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z-Cyrl-UZ" w:eastAsia="ru-RU"/>
        </w:rPr>
      </w:pPr>
      <w:r w:rsidRPr="00265B7C">
        <w:rPr>
          <w:rFonts w:ascii="Times New Roman" w:eastAsia="Times New Roman" w:hAnsi="Times New Roman" w:cs="Times New Roman"/>
          <w:b/>
          <w:noProof/>
          <w:sz w:val="28"/>
          <w:szCs w:val="28"/>
          <w:lang w:val="uz-Cyrl-UZ" w:eastAsia="ru-RU"/>
        </w:rPr>
        <w:t>Қайта тикланувчи энергия манбалари қурилмаларини ва уларнинг эҳтиёт қисмларини харид қилиш, ўрнатиш ва уларга сервис хизматларини кўрсатиш</w:t>
      </w:r>
      <w:r w:rsidRPr="00265B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65B7C">
        <w:rPr>
          <w:rFonts w:ascii="Times New Roman" w:eastAsia="Times New Roman" w:hAnsi="Times New Roman" w:cs="Times New Roman"/>
          <w:b/>
          <w:noProof/>
          <w:sz w:val="24"/>
          <w:szCs w:val="24"/>
          <w:lang w:val="uz-Cyrl-UZ" w:eastAsia="ru-RU"/>
        </w:rPr>
        <w:t>бўйича</w:t>
      </w:r>
    </w:p>
    <w:p w14:paraId="2878360B" w14:textId="77777777" w:rsidR="003F507C" w:rsidRDefault="003F507C" w:rsidP="003F507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26BE0BB4" w14:textId="77777777" w:rsidR="003F507C" w:rsidRPr="0099254D" w:rsidRDefault="003F507C" w:rsidP="003F507C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ЭЪЛОН</w:t>
      </w:r>
    </w:p>
    <w:p w14:paraId="63D3CBB6" w14:textId="77777777" w:rsidR="003F507C" w:rsidRDefault="003F507C" w:rsidP="003F5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F3ADE5B" w14:textId="77777777" w:rsidR="003F507C" w:rsidRPr="00C7504D" w:rsidRDefault="003F507C" w:rsidP="003F507C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Ўзбекистон Республикаси Президентининг «2023 йилда </w:t>
      </w:r>
      <w:bookmarkStart w:id="0" w:name="_Hlk143872853"/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қайта тикланувчи энергия манбаларини ва энергия тежовчи технологиялар</w:t>
      </w:r>
      <w:bookmarkEnd w:id="0"/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 жорий этишни жадаллаштириш чора-тадбирлари тўғрисида»ги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ПҚ-57 сон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қ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арори ижросини таъминлаш 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ҳамда и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жтимоий ва уй-жой коммунал хизмат кўрсатиш соҳаларида ҳамда иқтисодиёт тармоқларида қайта тикланувчи энергия манбаларини кенг жорий этиш, энергия самарадорлигини ошириш орқали республика ҳудудларида энергия тақчиллиги қопланишини таъминлаш мақсадида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Тошкент давлат транспорт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  <w:r w:rsidRPr="00C7504D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университети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“Қайта тикланувчи энергия манбалари қурилмаларини ва уларнинг эҳтиёт қисмларини харид қилиш, ўрнатиш ва уларга сервис хизматларини кўрсатиш” учун “Энг яхши таклифларни танлаш” бўйича танлов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эълон қилади.</w:t>
      </w:r>
    </w:p>
    <w:p w14:paraId="20712FB6" w14:textId="77777777" w:rsidR="003F507C" w:rsidRDefault="003F507C" w:rsidP="003F507C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Товарнинг батафсил тавсифи техник топшириқ рус тилида берилган. </w:t>
      </w:r>
    </w:p>
    <w:p w14:paraId="0AE6613E" w14:textId="77777777" w:rsidR="00763DEA" w:rsidRDefault="003F507C" w:rsidP="003F507C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Ўрнатилиши режалаштирилаётган қайта тикланувчи энергия манбалари қурилмалари ва уларнинг эҳтиёт қисмларини харид қилиш</w:t>
      </w:r>
      <w:r w:rsidRPr="00AF6D27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ўрнатиш ва уларга сервис хизматларини кўрсатиш натижасида қуввати 1 кВт учун чегаравий нархи </w:t>
      </w:r>
      <w:r w:rsidR="00585F3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9</w:t>
      </w:r>
      <w:r w:rsidR="0004089F" w:rsidRPr="0004089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 </w:t>
      </w:r>
      <w:r w:rsidRPr="0004089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 xml:space="preserve">млн.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сўмдан ошмаслиги талаб этилади. </w:t>
      </w:r>
    </w:p>
    <w:p w14:paraId="31402D1D" w14:textId="4878A2E2" w:rsidR="003F507C" w:rsidRDefault="00763DEA" w:rsidP="003F507C">
      <w:pPr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Ўрнатилиши режалаштирилаётган </w:t>
      </w:r>
      <w:r w:rsidRPr="00763DEA"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>қайта тикланувчи энергия манбалари ва энергия тежовчи технологиялар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нинг (Қуёш панелларининг) умумий қуввати - </w:t>
      </w:r>
      <w:r w:rsidRPr="00763DE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z-Cyrl-UZ" w:eastAsia="ru-RU"/>
        </w:rPr>
        <w:t>176 кВт.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z-Cyrl-UZ" w:eastAsia="ru-RU"/>
        </w:rPr>
        <w:t xml:space="preserve"> </w:t>
      </w:r>
    </w:p>
    <w:p w14:paraId="060F7CC4" w14:textId="74DD25EA" w:rsidR="003F507C" w:rsidRPr="00C7504D" w:rsidRDefault="003F507C" w:rsidP="003F5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Танловда иштирок этиш истагини билдирган тадбиркорлик субъектлари университет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х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арид комиссияси номига ўз тижорат таклифларини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давлат буюртмачиси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томонидан қуйилган </w:t>
      </w:r>
      <w:r w:rsidRPr="00B4211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техник топшириқ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ва малака </w:t>
      </w:r>
      <w:r w:rsidRPr="004B0B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талабларига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асосан корхона муҳри билан тасдиқланган ёпиқ махсус конвертда 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2023 йилнинг 2</w:t>
      </w:r>
      <w:r w:rsid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8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</w:t>
      </w:r>
      <w:r w:rsid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августи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га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қадар қўйидаги</w:t>
      </w:r>
      <w:bookmarkStart w:id="1" w:name="_GoBack"/>
      <w:bookmarkEnd w:id="1"/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манзилга юборишлари сўралади: 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Тошкент шаҳри, Миробод тумани, Темирйўлчилар кўчаси, 1. Тошкент давлат транспорт университети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девонхонаси “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Харид комиссияси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”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га.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</w:p>
    <w:p w14:paraId="1B322CC5" w14:textId="787D5DBA" w:rsidR="003F507C" w:rsidRPr="00C7504D" w:rsidRDefault="003F507C" w:rsidP="003F5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lastRenderedPageBreak/>
        <w:t>Т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ижорат таклифлари </w:t>
      </w:r>
      <w:r w:rsidR="000408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2</w:t>
      </w:r>
      <w:r w:rsid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8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</w:t>
      </w:r>
      <w:r w:rsidR="00A958A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август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соат 15-00га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қадар қабул қилинади.</w:t>
      </w:r>
    </w:p>
    <w:p w14:paraId="6EEC3291" w14:textId="75BCD2C3" w:rsidR="003F507C" w:rsidRDefault="003F507C" w:rsidP="003F5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Эълон бўйича танлов Харид комиссияси томонидан жорий йилнинг </w:t>
      </w:r>
      <w:r w:rsidR="0004089F" w:rsidRP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29</w:t>
      </w:r>
      <w:r w:rsidRP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</w:t>
      </w:r>
      <w:r w:rsid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август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куни соат </w:t>
      </w:r>
      <w:r w:rsidRPr="0004089F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11:00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университетнинг Илмий кенгаш залида ўтказилади.</w:t>
      </w:r>
    </w:p>
    <w:p w14:paraId="765CDCEF" w14:textId="77777777" w:rsidR="003F507C" w:rsidRDefault="003F507C" w:rsidP="003F50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Маълумот учун телефон: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(71) 299-04-59;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 w:rsidRPr="0052555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>(91) 163-69-29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 w:rsidRPr="00364E10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Харид комиссияси маъсул котиби</w:t>
      </w:r>
      <w:r w:rsidRPr="00ED7AA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Pr="00364E10">
        <w:rPr>
          <w:rFonts w:ascii="Times New Roman" w:hAnsi="Times New Roman" w:cs="Times New Roman"/>
          <w:sz w:val="28"/>
          <w:szCs w:val="28"/>
          <w:lang w:val="uz-Cyrl-UZ"/>
        </w:rPr>
        <w:t>.X.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Бобоходжаев</w:t>
      </w:r>
    </w:p>
    <w:p w14:paraId="6394AB31" w14:textId="77777777" w:rsidR="003F507C" w:rsidRPr="00C7504D" w:rsidRDefault="003F507C" w:rsidP="003F50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Қуйида танловда иштирок этиш истагини билдирган қатнашчиларга қўйиладиган малака талаблари ва келтирилган.</w:t>
      </w:r>
    </w:p>
    <w:p w14:paraId="59786611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Танловнинг баҳолаш меъзонлари (жами 100 балл):</w:t>
      </w:r>
    </w:p>
    <w:p w14:paraId="7AF09042" w14:textId="77777777" w:rsidR="003F507C" w:rsidRPr="00AA5C30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AA5C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техник қисми учун - 80 балл;</w:t>
      </w:r>
    </w:p>
    <w:p w14:paraId="79DB3E5E" w14:textId="77777777" w:rsidR="003F507C" w:rsidRPr="00AA5C30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AA5C3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молиявий қисми учун - 20 балл.</w:t>
      </w:r>
    </w:p>
    <w:p w14:paraId="6AF488DE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Theme="minorEastAsia" w:hAnsi="Times New Roman" w:cs="Times New Roman" w:hint="eastAsia"/>
          <w:b/>
          <w:noProof/>
          <w:color w:val="000000"/>
          <w:sz w:val="28"/>
          <w:szCs w:val="28"/>
          <w:lang w:val="uz-Cyrl-UZ" w:eastAsia="zh-CN"/>
        </w:rPr>
        <w:t>I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. Танловнинг техник қисмини баҳолаш меъзонлари:</w:t>
      </w:r>
    </w:p>
    <w:p w14:paraId="42339C11" w14:textId="77777777" w:rsidR="003F507C" w:rsidRPr="00624D44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 w:rsidRPr="00624D4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1) Моддий техник база – 20 балл</w:t>
      </w:r>
    </w:p>
    <w:p w14:paraId="50F715E9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</w:t>
      </w:r>
      <w:r w:rsidRPr="002666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)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ускуналарни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сифатли ва кафолатли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ўрнатиш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(кафолат хати) – 5 балл;</w:t>
      </w:r>
    </w:p>
    <w:p w14:paraId="32106E67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б) буюртмачи ходимларини ускуналарни ишлатиш ва уларга хизмат кўрсатиш бўйича ўқув танишув машғулотларини амалга ошириш (кафолат хати) – 5 балл; </w:t>
      </w:r>
    </w:p>
    <w:p w14:paraId="3B682854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в) иштирокчининг с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ервис хизмат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ини кўрсатувчи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ташкил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ий тузилмасининг мавжудлиги – 5 балл;</w:t>
      </w:r>
    </w:p>
    <w:p w14:paraId="25E00039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г) иштирокчининг м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ахсус синов-текширув лабораторияси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мавжудлиги – 5 балл;</w:t>
      </w:r>
    </w:p>
    <w:p w14:paraId="1D755F27" w14:textId="77777777" w:rsidR="003F507C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6F37A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2) Корхона томонидан бажарилган ишлар рўйхати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 (портфолио)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 w:rsidRPr="002666E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10</w:t>
      </w:r>
      <w:r w:rsidRPr="002666E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 балл</w:t>
      </w:r>
    </w:p>
    <w:p w14:paraId="3AD029D8" w14:textId="77777777" w:rsidR="003F507C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а) камида 20 та корхона(ташкилот)дан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бажарилган ишлар бўйича тузилган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шартнома ва ҳисоб фактура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ларни тақдим этиш</w:t>
      </w:r>
      <w:r w:rsidRPr="002666E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>5</w:t>
      </w:r>
      <w:r w:rsidRPr="002666E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 xml:space="preserve"> балл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5EE212AB" w14:textId="77777777" w:rsidR="003F507C" w:rsidRPr="00C7504D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б)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амалга оширилган лойиҳалар бўйича т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ашкилотлар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дан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олинган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тавсияномалар</w:t>
      </w:r>
      <w:r w:rsidRPr="00B74D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- </w:t>
      </w:r>
      <w:r w:rsidRPr="00B74D8A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>5 балл.</w:t>
      </w:r>
    </w:p>
    <w:p w14:paraId="21F303BD" w14:textId="77777777" w:rsidR="003F507C" w:rsidRPr="00C2767E" w:rsidRDefault="003F507C" w:rsidP="003F507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 w:rsidRPr="00C2767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3) Ваколатли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давлат </w:t>
      </w:r>
      <w:r w:rsidRPr="00C2767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орган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и</w:t>
      </w:r>
      <w:r w:rsidRPr="00C2767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дан қуёш фотоэлектр станцияларни лойиҳалаш учун берилган лицензиянинг мавжудлиги - </w:t>
      </w:r>
      <w:r w:rsidRPr="00C2767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10 балл.</w:t>
      </w:r>
    </w:p>
    <w:p w14:paraId="02E3266E" w14:textId="77777777" w:rsidR="003F507C" w:rsidRPr="00D5711B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 w:rsidRPr="00D571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lastRenderedPageBreak/>
        <w:t>4) Иштирокчининг асосий штатида соҳа малакали мутахассислари мавжудлиги (mehnat.uz маълумотномаси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 xml:space="preserve"> асосида</w:t>
      </w:r>
      <w:r w:rsidRPr="00D571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)</w:t>
      </w:r>
      <w:r w:rsidRPr="00D5711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5</w:t>
      </w:r>
      <w:r w:rsidRPr="00D5711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балл.</w:t>
      </w:r>
    </w:p>
    <w:p w14:paraId="5F460959" w14:textId="77777777" w:rsidR="003F507C" w:rsidRDefault="003F507C" w:rsidP="003F507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5)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Корхонанининг охирги 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2 йил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да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айланма маблағлар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и тўғрисида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банк томонидан тасдиқланган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маълумотнома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5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;</w:t>
      </w:r>
    </w:p>
    <w:p w14:paraId="1CE18ECD" w14:textId="77777777" w:rsidR="003F507C" w:rsidRPr="00C7504D" w:rsidRDefault="003F507C" w:rsidP="003F507C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6)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“Инсофсиз ижрочиларнинг ягона реестри”да мавжуд эмаслиги тўғрисидаги маълумотнома 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5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балл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;</w:t>
      </w:r>
    </w:p>
    <w:p w14:paraId="1430156F" w14:textId="77777777" w:rsidR="003F507C" w:rsidRPr="00C7504D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7)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Давлат солиқ инспекциясидан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қарздорлик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мавжуд эмаслиги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бўйича белгиланган шаклдаги маълумотнома - 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 балл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;</w:t>
      </w:r>
    </w:p>
    <w:p w14:paraId="13B2F754" w14:textId="77777777" w:rsidR="003F507C" w:rsidRPr="00C7504D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8)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Корхона Низоми (Устав) (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 балл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), г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увоҳномаси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(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 балл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)</w:t>
      </w:r>
      <w:r w:rsidRPr="00BB3AC0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val="uz-Cyrl-UZ" w:eastAsia="ru-RU"/>
        </w:rPr>
        <w:t>,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д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илерлик сертификатлари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6</w:t>
      </w:r>
      <w:r w:rsidRPr="00C7504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балл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)</w:t>
      </w: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мавжудлиги - </w:t>
      </w:r>
      <w:r w:rsidRPr="00DA0C0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10 балл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;</w:t>
      </w:r>
    </w:p>
    <w:p w14:paraId="53C7073D" w14:textId="77777777" w:rsidR="003F507C" w:rsidRPr="00C7504D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9) Маҳсулотларнинг лицензия ва сертификатлари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мавжудлиги </w:t>
      </w:r>
      <w:r w:rsidRPr="00DA0C0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- 5 балл.</w:t>
      </w:r>
    </w:p>
    <w:p w14:paraId="156D9212" w14:textId="77777777" w:rsidR="003F507C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</w:pPr>
      <w:r w:rsidRPr="00C750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10) Иштирокчи корхона томонидан импорт қилинган маҳсулотлар декларацияси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8</w:t>
      </w:r>
      <w:r w:rsidRPr="00DA0C0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балл.</w:t>
      </w:r>
    </w:p>
    <w:p w14:paraId="27896706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Theme="minorEastAsia" w:hAnsi="Times New Roman" w:cs="Times New Roman" w:hint="eastAsia"/>
          <w:b/>
          <w:noProof/>
          <w:color w:val="000000"/>
          <w:sz w:val="28"/>
          <w:szCs w:val="28"/>
          <w:lang w:val="uz-Cyrl-UZ" w:eastAsia="zh-CN"/>
        </w:rPr>
        <w:t>II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. Танловнинг молиявий қисмини баҳолаш меъзонлари:</w:t>
      </w:r>
    </w:p>
    <w:p w14:paraId="5D422AA5" w14:textId="77777777" w:rsidR="003F507C" w:rsidRPr="00AE710B" w:rsidRDefault="003F507C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val="uz-Cyrl-UZ" w:eastAsia="ru-RU"/>
          </w:rPr>
          <m:t>A</m:t>
        </m:r>
      </m:oMath>
      <w:r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– нарх бўйича энг кам таклиф берган ташкилот суммаси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4E6AD122" w14:textId="77777777" w:rsidR="003F507C" w:rsidRPr="00AE710B" w:rsidRDefault="003F507C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val="uz-Cyrl-UZ" w:eastAsia="ru-RU"/>
          </w:rPr>
          <m:t>B</m:t>
        </m:r>
      </m:oMath>
      <w:r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– бошқа ташкилот суммаси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72E5F358" w14:textId="77777777" w:rsidR="003F507C" w:rsidRPr="00AE710B" w:rsidRDefault="00A958AD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1</m:t>
            </m:r>
          </m:sub>
        </m:sSub>
      </m:oMath>
      <w:r w:rsidR="003F507C"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- нарх бўйича энг кам таклиф берган ташкилот баҳоси</w:t>
      </w:r>
      <w:r w:rsidR="003F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7AB569AE" w14:textId="77777777" w:rsidR="003F507C" w:rsidRPr="00AE710B" w:rsidRDefault="00A958AD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1</m:t>
            </m:r>
          </m:sub>
        </m:sSub>
      </m:oMath>
      <w:r w:rsidR="003F507C"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- бошқа ташкилот баҳоси</w:t>
      </w:r>
      <w:r w:rsidR="003F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1CA43C03" w14:textId="77777777" w:rsidR="003F507C" w:rsidRPr="00AE710B" w:rsidRDefault="00A958AD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val="uz-Cyrl-UZ" w:eastAsia="ru-RU"/>
          </w:rPr>
          <m:t xml:space="preserve">=20, </m:t>
        </m:r>
      </m:oMath>
      <w:r w:rsidR="003F507C"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балл</w:t>
      </w:r>
      <w:r w:rsidR="003F50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</w:t>
      </w:r>
    </w:p>
    <w:p w14:paraId="639F060C" w14:textId="77777777" w:rsidR="003F507C" w:rsidRPr="00AE710B" w:rsidRDefault="00A958AD" w:rsidP="003F507C">
      <w:pPr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val="uz-Cyrl-U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20∙</m:t>
            </m:r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  <w:lang w:val="uz-Cyrl-UZ" w:eastAsia="ru-RU"/>
              </w:rPr>
              <m:t>B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/>
            <w:sz w:val="28"/>
            <w:szCs w:val="28"/>
            <w:lang w:val="uz-Cyrl-UZ" w:eastAsia="ru-RU"/>
          </w:rPr>
          <m:t xml:space="preserve">,  </m:t>
        </m:r>
      </m:oMath>
      <w:r w:rsidR="003F507C" w:rsidRPr="00AE71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балл.</w:t>
      </w:r>
    </w:p>
    <w:p w14:paraId="66B7D4B9" w14:textId="77777777" w:rsidR="003F507C" w:rsidRDefault="003F507C" w:rsidP="003F50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</w:pPr>
    </w:p>
    <w:p w14:paraId="3568994B" w14:textId="77777777" w:rsidR="003F507C" w:rsidRPr="00DA0C0C" w:rsidRDefault="003F507C" w:rsidP="003F507C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Махсус шарт: </w:t>
      </w:r>
      <w:r w:rsidRPr="00DA0C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танловда иштирок этиш истагини билдирган тадбиркорлик субъектлари Ўзбекистон Республикаси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Қ</w:t>
      </w:r>
      <w:r w:rsidRPr="002128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урилиш ва уй-жой коммунал хўжалиги вазир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лиги</w:t>
      </w:r>
      <w:r w:rsidRPr="00DA0C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томонидан берилган </w:t>
      </w:r>
      <w:r w:rsidRPr="00DE51F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лицензияга</w:t>
      </w:r>
      <w:r w:rsidRPr="00DA0C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эга бўлиши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талаб этилади.</w:t>
      </w:r>
    </w:p>
    <w:p w14:paraId="08CDB528" w14:textId="77777777" w:rsidR="003F507C" w:rsidRPr="0066510F" w:rsidRDefault="003F507C" w:rsidP="003F50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Танловда </w:t>
      </w:r>
      <w:r w:rsidRPr="0066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иштирок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чиларидан </w:t>
      </w:r>
      <w:r w:rsidRPr="00C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коррупция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нинг барча </w:t>
      </w:r>
      <w:r w:rsidRPr="0066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кўринишларига йўл қўймаслик бўйича </w:t>
      </w:r>
      <w:r w:rsidRPr="00CF6B9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z-Cyrl-UZ" w:eastAsia="ru-RU"/>
        </w:rPr>
        <w:t>ариза</w:t>
      </w:r>
      <w:r w:rsidRPr="0066510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тақдим этиш талаб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этилади.</w:t>
      </w:r>
    </w:p>
    <w:p w14:paraId="56AB6A04" w14:textId="77777777" w:rsidR="003F507C" w:rsidRDefault="003F507C" w:rsidP="003F50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</w:pPr>
      <w:r w:rsidRPr="00DA0C0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lastRenderedPageBreak/>
        <w:t>Қайта тикланувчи энергия манбалари қурилмаларинининг техник параметрлари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(рус тилида).</w:t>
      </w:r>
    </w:p>
    <w:p w14:paraId="090EF4EC" w14:textId="77777777" w:rsidR="003F507C" w:rsidRPr="0066510F" w:rsidRDefault="003F507C" w:rsidP="003F507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</w:p>
    <w:p w14:paraId="151C9EDF" w14:textId="77777777" w:rsidR="00F569C2" w:rsidRPr="003F507C" w:rsidRDefault="00F569C2">
      <w:pPr>
        <w:rPr>
          <w:lang w:val="uz-Cyrl-UZ"/>
        </w:rPr>
      </w:pPr>
    </w:p>
    <w:sectPr w:rsidR="00F569C2" w:rsidRPr="003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3"/>
    <w:rsid w:val="00015654"/>
    <w:rsid w:val="0004089F"/>
    <w:rsid w:val="00076813"/>
    <w:rsid w:val="003F507C"/>
    <w:rsid w:val="00585F3A"/>
    <w:rsid w:val="006644D2"/>
    <w:rsid w:val="00763DEA"/>
    <w:rsid w:val="00A958AD"/>
    <w:rsid w:val="00E33C7B"/>
    <w:rsid w:val="00F00097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A017"/>
  <w15:chartTrackingRefBased/>
  <w15:docId w15:val="{C15D637C-1449-47A8-AD68-6C01C3F0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07C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2023-08-25T10:49:00Z</dcterms:created>
  <dcterms:modified xsi:type="dcterms:W3CDTF">2023-08-25T12:18:00Z</dcterms:modified>
</cp:coreProperties>
</file>